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356" w:type="dxa"/>
        <w:tblInd w:w="-27" w:type="dxa"/>
        <w:tblLayout w:type="fixed"/>
        <w:tblLook w:val="0400" w:firstRow="0" w:lastRow="0" w:firstColumn="0" w:lastColumn="0" w:noHBand="0" w:noVBand="1"/>
      </w:tblPr>
      <w:tblGrid>
        <w:gridCol w:w="3403"/>
        <w:gridCol w:w="5953"/>
      </w:tblGrid>
      <w:tr w:rsidR="0069389B" w:rsidRPr="00F665DD" w:rsidTr="00770063">
        <w:tc>
          <w:tcPr>
            <w:tcW w:w="3403" w:type="dxa"/>
          </w:tcPr>
          <w:p w:rsidR="0069389B" w:rsidRPr="00F665DD" w:rsidRDefault="007F728F" w:rsidP="00E100CC">
            <w:pPr>
              <w:spacing w:line="276" w:lineRule="auto"/>
              <w:jc w:val="center"/>
              <w:rPr>
                <w:b/>
                <w:sz w:val="26"/>
                <w:szCs w:val="26"/>
              </w:rPr>
            </w:pPr>
            <w:r w:rsidRPr="00F665DD">
              <w:rPr>
                <w:b/>
                <w:sz w:val="26"/>
                <w:szCs w:val="26"/>
              </w:rPr>
              <w:t>HỘI ĐỒNG NHÂN DÂN</w:t>
            </w:r>
          </w:p>
        </w:tc>
        <w:tc>
          <w:tcPr>
            <w:tcW w:w="5953" w:type="dxa"/>
          </w:tcPr>
          <w:p w:rsidR="0069389B" w:rsidRPr="00F665DD" w:rsidRDefault="007F728F" w:rsidP="00E100CC">
            <w:pPr>
              <w:spacing w:line="276" w:lineRule="auto"/>
              <w:jc w:val="center"/>
              <w:rPr>
                <w:b/>
                <w:sz w:val="26"/>
                <w:szCs w:val="26"/>
              </w:rPr>
            </w:pPr>
            <w:r w:rsidRPr="00F665DD">
              <w:rPr>
                <w:b/>
                <w:sz w:val="26"/>
                <w:szCs w:val="26"/>
              </w:rPr>
              <w:t>CỘNG HOÀ XÃ HỘI CHỦ NGHĨA VIỆT NAM</w:t>
            </w:r>
          </w:p>
        </w:tc>
      </w:tr>
      <w:tr w:rsidR="0069389B" w:rsidRPr="00F665DD" w:rsidTr="00770063">
        <w:tc>
          <w:tcPr>
            <w:tcW w:w="3403" w:type="dxa"/>
          </w:tcPr>
          <w:p w:rsidR="0069389B" w:rsidRDefault="007F728F" w:rsidP="00E100CC">
            <w:pPr>
              <w:spacing w:line="276" w:lineRule="auto"/>
              <w:jc w:val="center"/>
              <w:rPr>
                <w:b/>
                <w:sz w:val="26"/>
                <w:szCs w:val="26"/>
              </w:rPr>
            </w:pPr>
            <w:r w:rsidRPr="00F665DD">
              <w:rPr>
                <w:b/>
                <w:sz w:val="26"/>
                <w:szCs w:val="26"/>
              </w:rPr>
              <w:t>THÀNH PHỐ CAO LÃNH</w:t>
            </w:r>
          </w:p>
          <w:p w:rsidR="00E50561" w:rsidRPr="00E50561" w:rsidRDefault="00E50561" w:rsidP="00E100CC">
            <w:pPr>
              <w:spacing w:line="276" w:lineRule="auto"/>
              <w:jc w:val="center"/>
              <w:rPr>
                <w:b/>
                <w:sz w:val="16"/>
                <w:szCs w:val="16"/>
                <w:vertAlign w:val="superscript"/>
              </w:rPr>
            </w:pPr>
            <w:r>
              <w:rPr>
                <w:b/>
                <w:sz w:val="16"/>
                <w:szCs w:val="16"/>
                <w:vertAlign w:val="superscript"/>
              </w:rPr>
              <w:t>_____________________</w:t>
            </w:r>
          </w:p>
        </w:tc>
        <w:tc>
          <w:tcPr>
            <w:tcW w:w="5953" w:type="dxa"/>
          </w:tcPr>
          <w:p w:rsidR="0069389B" w:rsidRPr="002857F2" w:rsidRDefault="007F728F" w:rsidP="00E100CC">
            <w:pPr>
              <w:spacing w:line="276" w:lineRule="auto"/>
              <w:jc w:val="center"/>
              <w:rPr>
                <w:b/>
                <w:sz w:val="26"/>
                <w:szCs w:val="26"/>
              </w:rPr>
            </w:pPr>
            <w:r w:rsidRPr="002857F2">
              <w:rPr>
                <w:b/>
                <w:sz w:val="26"/>
                <w:szCs w:val="26"/>
              </w:rPr>
              <w:t>Độc Lập - Tự Do -  Hạnh Phúc</w:t>
            </w:r>
          </w:p>
          <w:p w:rsidR="00E50561" w:rsidRPr="00E50561" w:rsidRDefault="00E50561" w:rsidP="002857F2">
            <w:pPr>
              <w:spacing w:line="276" w:lineRule="auto"/>
              <w:jc w:val="center"/>
              <w:rPr>
                <w:b/>
                <w:sz w:val="16"/>
                <w:szCs w:val="16"/>
                <w:vertAlign w:val="superscript"/>
              </w:rPr>
            </w:pPr>
            <w:r>
              <w:rPr>
                <w:b/>
                <w:sz w:val="16"/>
                <w:szCs w:val="16"/>
                <w:vertAlign w:val="superscript"/>
              </w:rPr>
              <w:t>__________________________________________________________________</w:t>
            </w:r>
          </w:p>
        </w:tc>
      </w:tr>
      <w:tr w:rsidR="0069389B" w:rsidRPr="00F665DD" w:rsidTr="00770063">
        <w:tc>
          <w:tcPr>
            <w:tcW w:w="3403" w:type="dxa"/>
          </w:tcPr>
          <w:p w:rsidR="00193E57" w:rsidRPr="002857F2" w:rsidRDefault="00A5476C" w:rsidP="00D06875">
            <w:pPr>
              <w:spacing w:line="276" w:lineRule="auto"/>
              <w:jc w:val="center"/>
              <w:rPr>
                <w:sz w:val="26"/>
                <w:szCs w:val="26"/>
              </w:rPr>
            </w:pPr>
            <w:r>
              <w:rPr>
                <w:sz w:val="26"/>
                <w:szCs w:val="26"/>
              </w:rPr>
              <w:t xml:space="preserve">Số: </w:t>
            </w:r>
            <w:r w:rsidR="00D06875">
              <w:rPr>
                <w:sz w:val="26"/>
                <w:szCs w:val="26"/>
              </w:rPr>
              <w:t xml:space="preserve">     </w:t>
            </w:r>
            <w:r w:rsidR="007F728F" w:rsidRPr="002857F2">
              <w:rPr>
                <w:sz w:val="26"/>
                <w:szCs w:val="26"/>
              </w:rPr>
              <w:t>/NQ-HĐND</w:t>
            </w:r>
          </w:p>
        </w:tc>
        <w:tc>
          <w:tcPr>
            <w:tcW w:w="5953" w:type="dxa"/>
          </w:tcPr>
          <w:p w:rsidR="0069389B" w:rsidRPr="002857F2" w:rsidRDefault="007F728F" w:rsidP="006F455C">
            <w:pPr>
              <w:spacing w:line="276" w:lineRule="auto"/>
              <w:jc w:val="right"/>
              <w:rPr>
                <w:i/>
                <w:sz w:val="26"/>
                <w:szCs w:val="26"/>
              </w:rPr>
            </w:pPr>
            <w:r w:rsidRPr="002857F2">
              <w:rPr>
                <w:i/>
                <w:sz w:val="26"/>
                <w:szCs w:val="26"/>
              </w:rPr>
              <w:t>Thành phố Cao</w:t>
            </w:r>
            <w:r w:rsidR="00637A86" w:rsidRPr="002857F2">
              <w:rPr>
                <w:i/>
                <w:sz w:val="26"/>
                <w:szCs w:val="26"/>
              </w:rPr>
              <w:t xml:space="preserve"> Lãnh , ngày </w:t>
            </w:r>
            <w:r w:rsidR="006F455C">
              <w:rPr>
                <w:i/>
                <w:sz w:val="26"/>
                <w:szCs w:val="26"/>
              </w:rPr>
              <w:t xml:space="preserve">  </w:t>
            </w:r>
            <w:r w:rsidR="00FF0F0C">
              <w:rPr>
                <w:i/>
                <w:sz w:val="26"/>
                <w:szCs w:val="26"/>
              </w:rPr>
              <w:t xml:space="preserve"> </w:t>
            </w:r>
            <w:r w:rsidR="002D4466" w:rsidRPr="002857F2">
              <w:rPr>
                <w:i/>
                <w:sz w:val="26"/>
                <w:szCs w:val="26"/>
              </w:rPr>
              <w:t>t</w:t>
            </w:r>
            <w:r w:rsidR="003A5F49" w:rsidRPr="002857F2">
              <w:rPr>
                <w:i/>
                <w:sz w:val="26"/>
                <w:szCs w:val="26"/>
              </w:rPr>
              <w:t xml:space="preserve">háng </w:t>
            </w:r>
            <w:r w:rsidR="00A5476C">
              <w:rPr>
                <w:i/>
                <w:sz w:val="26"/>
                <w:szCs w:val="26"/>
              </w:rPr>
              <w:t>8</w:t>
            </w:r>
            <w:r w:rsidR="005043FA">
              <w:rPr>
                <w:i/>
                <w:sz w:val="26"/>
                <w:szCs w:val="26"/>
              </w:rPr>
              <w:t xml:space="preserve"> </w:t>
            </w:r>
            <w:r w:rsidR="001865AE">
              <w:rPr>
                <w:i/>
                <w:sz w:val="26"/>
                <w:szCs w:val="26"/>
              </w:rPr>
              <w:t>năm 202</w:t>
            </w:r>
            <w:r w:rsidR="006F455C">
              <w:rPr>
                <w:i/>
                <w:sz w:val="26"/>
                <w:szCs w:val="26"/>
              </w:rPr>
              <w:t>1</w:t>
            </w:r>
          </w:p>
        </w:tc>
      </w:tr>
      <w:tr w:rsidR="008B7794" w:rsidRPr="00F665DD" w:rsidTr="00770063">
        <w:tc>
          <w:tcPr>
            <w:tcW w:w="3403" w:type="dxa"/>
          </w:tcPr>
          <w:p w:rsidR="008B7794" w:rsidRPr="002857F2" w:rsidRDefault="008B7794" w:rsidP="00637A86">
            <w:pPr>
              <w:spacing w:line="276" w:lineRule="auto"/>
              <w:jc w:val="center"/>
              <w:rPr>
                <w:sz w:val="26"/>
                <w:szCs w:val="26"/>
              </w:rPr>
            </w:pPr>
          </w:p>
        </w:tc>
        <w:tc>
          <w:tcPr>
            <w:tcW w:w="5953" w:type="dxa"/>
          </w:tcPr>
          <w:p w:rsidR="008B7794" w:rsidRPr="002857F2" w:rsidRDefault="008B7794" w:rsidP="00900CB4">
            <w:pPr>
              <w:spacing w:line="276" w:lineRule="auto"/>
              <w:jc w:val="right"/>
              <w:rPr>
                <w:i/>
                <w:sz w:val="26"/>
                <w:szCs w:val="26"/>
              </w:rPr>
            </w:pPr>
          </w:p>
        </w:tc>
      </w:tr>
    </w:tbl>
    <w:p w:rsidR="00013F32" w:rsidRDefault="00013F32" w:rsidP="00013F32">
      <w:pPr>
        <w:jc w:val="center"/>
        <w:rPr>
          <w:b/>
          <w:sz w:val="28"/>
          <w:szCs w:val="28"/>
        </w:rPr>
      </w:pPr>
    </w:p>
    <w:p w:rsidR="00013F32" w:rsidRPr="00F665DD" w:rsidRDefault="00013F32" w:rsidP="00013F32">
      <w:pPr>
        <w:jc w:val="center"/>
        <w:rPr>
          <w:b/>
          <w:sz w:val="28"/>
          <w:szCs w:val="28"/>
        </w:rPr>
      </w:pPr>
      <w:r w:rsidRPr="00F665DD">
        <w:rPr>
          <w:b/>
          <w:sz w:val="28"/>
          <w:szCs w:val="28"/>
        </w:rPr>
        <w:t xml:space="preserve">NGHỊ QUYẾT </w:t>
      </w:r>
    </w:p>
    <w:p w:rsidR="00013F32" w:rsidRDefault="00013F32" w:rsidP="00013F32">
      <w:pPr>
        <w:jc w:val="center"/>
        <w:rPr>
          <w:rFonts w:ascii="Times" w:eastAsia="Times" w:hAnsi="Times" w:cs="Times"/>
          <w:b/>
          <w:sz w:val="28"/>
          <w:szCs w:val="28"/>
        </w:rPr>
      </w:pPr>
      <w:r w:rsidRPr="00F665DD">
        <w:rPr>
          <w:rFonts w:ascii="Times" w:eastAsia="Times" w:hAnsi="Times" w:cs="Times"/>
          <w:b/>
          <w:sz w:val="28"/>
          <w:szCs w:val="28"/>
        </w:rPr>
        <w:t xml:space="preserve">Về Chương trình hoạt động giám sát </w:t>
      </w:r>
    </w:p>
    <w:p w:rsidR="00013F32" w:rsidRPr="00F665DD" w:rsidRDefault="00013F32" w:rsidP="00013F32">
      <w:pPr>
        <w:jc w:val="center"/>
        <w:rPr>
          <w:rFonts w:ascii="Times" w:eastAsia="Times" w:hAnsi="Times" w:cs="Times"/>
          <w:b/>
          <w:sz w:val="28"/>
          <w:szCs w:val="28"/>
        </w:rPr>
      </w:pPr>
      <w:r w:rsidRPr="00F665DD">
        <w:rPr>
          <w:rFonts w:ascii="Times" w:eastAsia="Times" w:hAnsi="Times" w:cs="Times"/>
          <w:b/>
          <w:sz w:val="28"/>
          <w:szCs w:val="28"/>
        </w:rPr>
        <w:t xml:space="preserve">của Hội đồng nhân dân Thành phố </w:t>
      </w:r>
      <w:r>
        <w:rPr>
          <w:rFonts w:ascii="Times" w:eastAsia="Times" w:hAnsi="Times" w:cs="Times"/>
          <w:b/>
          <w:sz w:val="28"/>
          <w:szCs w:val="28"/>
        </w:rPr>
        <w:t>năm 202</w:t>
      </w:r>
      <w:r w:rsidR="006F455C">
        <w:rPr>
          <w:rFonts w:ascii="Times" w:eastAsia="Times" w:hAnsi="Times" w:cs="Times"/>
          <w:b/>
          <w:sz w:val="28"/>
          <w:szCs w:val="28"/>
        </w:rPr>
        <w:t>2</w:t>
      </w:r>
    </w:p>
    <w:p w:rsidR="00013F32" w:rsidRPr="00F162BA" w:rsidRDefault="00013F32" w:rsidP="00013F32">
      <w:pPr>
        <w:jc w:val="center"/>
        <w:rPr>
          <w:b/>
          <w:sz w:val="16"/>
          <w:szCs w:val="16"/>
          <w:vertAlign w:val="superscript"/>
        </w:rPr>
      </w:pPr>
      <w:r>
        <w:rPr>
          <w:b/>
          <w:sz w:val="16"/>
          <w:szCs w:val="16"/>
          <w:vertAlign w:val="superscript"/>
        </w:rPr>
        <w:t>__________________________________</w:t>
      </w:r>
    </w:p>
    <w:p w:rsidR="00013F32" w:rsidRPr="00F665DD" w:rsidRDefault="00013F32" w:rsidP="00013F32">
      <w:pPr>
        <w:jc w:val="center"/>
        <w:rPr>
          <w:b/>
          <w:sz w:val="28"/>
          <w:szCs w:val="28"/>
        </w:rPr>
      </w:pPr>
    </w:p>
    <w:p w:rsidR="00013F32" w:rsidRPr="00F665DD" w:rsidRDefault="00013F32" w:rsidP="00013F32">
      <w:pPr>
        <w:jc w:val="center"/>
        <w:rPr>
          <w:b/>
          <w:sz w:val="28"/>
          <w:szCs w:val="28"/>
        </w:rPr>
      </w:pPr>
      <w:r w:rsidRPr="00F665DD">
        <w:rPr>
          <w:b/>
          <w:sz w:val="28"/>
          <w:szCs w:val="28"/>
        </w:rPr>
        <w:t>HỘI ĐỒNG NHÂN DÂN THÀNH PHỐ CAO LÃNH</w:t>
      </w:r>
    </w:p>
    <w:p w:rsidR="00013F32" w:rsidRPr="00F665DD" w:rsidRDefault="00013F32" w:rsidP="00013F32">
      <w:pPr>
        <w:jc w:val="center"/>
        <w:rPr>
          <w:b/>
          <w:sz w:val="28"/>
          <w:szCs w:val="28"/>
        </w:rPr>
      </w:pPr>
      <w:r w:rsidRPr="00F665DD">
        <w:rPr>
          <w:b/>
          <w:sz w:val="28"/>
          <w:szCs w:val="28"/>
        </w:rPr>
        <w:t xml:space="preserve">KHÓA </w:t>
      </w:r>
      <w:r w:rsidR="006F455C">
        <w:rPr>
          <w:b/>
          <w:sz w:val="28"/>
          <w:szCs w:val="28"/>
        </w:rPr>
        <w:t>IX</w:t>
      </w:r>
      <w:r w:rsidRPr="00F665DD">
        <w:rPr>
          <w:b/>
          <w:sz w:val="28"/>
          <w:szCs w:val="28"/>
        </w:rPr>
        <w:t xml:space="preserve"> - KỲ HỌP THỨ </w:t>
      </w:r>
      <w:r w:rsidR="006F455C">
        <w:rPr>
          <w:b/>
          <w:sz w:val="28"/>
          <w:szCs w:val="28"/>
        </w:rPr>
        <w:t>2</w:t>
      </w:r>
    </w:p>
    <w:p w:rsidR="00013F32" w:rsidRPr="00F665DD" w:rsidRDefault="00013F32" w:rsidP="00013F32">
      <w:pPr>
        <w:jc w:val="center"/>
        <w:rPr>
          <w:b/>
          <w:sz w:val="28"/>
          <w:szCs w:val="28"/>
        </w:rPr>
      </w:pPr>
    </w:p>
    <w:p w:rsidR="006F455C" w:rsidRDefault="006F455C" w:rsidP="00013F32">
      <w:pPr>
        <w:spacing w:before="120" w:after="120"/>
        <w:ind w:firstLine="720"/>
        <w:jc w:val="both"/>
        <w:rPr>
          <w:i/>
          <w:color w:val="auto"/>
          <w:sz w:val="28"/>
        </w:rPr>
      </w:pPr>
      <w:r w:rsidRPr="006F455C">
        <w:rPr>
          <w:i/>
          <w:color w:val="auto"/>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13F32" w:rsidRPr="002F0A59" w:rsidRDefault="00013F32" w:rsidP="00013F32">
      <w:pPr>
        <w:spacing w:before="120" w:after="120"/>
        <w:ind w:firstLine="720"/>
        <w:jc w:val="both"/>
        <w:rPr>
          <w:i/>
          <w:sz w:val="28"/>
          <w:szCs w:val="28"/>
        </w:rPr>
      </w:pPr>
      <w:r w:rsidRPr="002F0A59">
        <w:rPr>
          <w:i/>
          <w:sz w:val="28"/>
          <w:szCs w:val="28"/>
        </w:rPr>
        <w:t>Căn cứ Luật hoạt động giám sát của Quốc hội và Hội đồng nhân dân ngày 20 tháng 11 năm 2015;</w:t>
      </w:r>
    </w:p>
    <w:p w:rsidR="00013F32" w:rsidRPr="002F0A59" w:rsidRDefault="00013F32" w:rsidP="00013F32">
      <w:pPr>
        <w:spacing w:before="120" w:after="120"/>
        <w:ind w:firstLine="720"/>
        <w:jc w:val="both"/>
        <w:rPr>
          <w:i/>
          <w:sz w:val="28"/>
          <w:szCs w:val="28"/>
        </w:rPr>
      </w:pPr>
      <w:r w:rsidRPr="002F0A59">
        <w:rPr>
          <w:i/>
          <w:sz w:val="28"/>
          <w:szCs w:val="28"/>
        </w:rPr>
        <w:t xml:space="preserve">Xét Tờ trình số </w:t>
      </w:r>
      <w:r w:rsidR="00CD78B9">
        <w:rPr>
          <w:i/>
          <w:sz w:val="28"/>
          <w:szCs w:val="28"/>
        </w:rPr>
        <w:t>28</w:t>
      </w:r>
      <w:r w:rsidRPr="002F0A59">
        <w:rPr>
          <w:i/>
          <w:sz w:val="28"/>
          <w:szCs w:val="28"/>
        </w:rPr>
        <w:t>/T</w:t>
      </w:r>
      <w:r>
        <w:rPr>
          <w:i/>
          <w:sz w:val="28"/>
          <w:szCs w:val="28"/>
        </w:rPr>
        <w:t xml:space="preserve">Tr-HĐND ngày </w:t>
      </w:r>
      <w:r w:rsidR="006F455C">
        <w:rPr>
          <w:i/>
          <w:sz w:val="28"/>
          <w:szCs w:val="28"/>
        </w:rPr>
        <w:t xml:space="preserve"> </w:t>
      </w:r>
      <w:r w:rsidR="00CD78B9">
        <w:rPr>
          <w:i/>
          <w:sz w:val="28"/>
          <w:szCs w:val="28"/>
        </w:rPr>
        <w:t>04</w:t>
      </w:r>
      <w:r w:rsidR="006F455C">
        <w:rPr>
          <w:i/>
          <w:sz w:val="28"/>
          <w:szCs w:val="28"/>
        </w:rPr>
        <w:t xml:space="preserve"> </w:t>
      </w:r>
      <w:r>
        <w:rPr>
          <w:i/>
          <w:sz w:val="28"/>
          <w:szCs w:val="28"/>
        </w:rPr>
        <w:t xml:space="preserve"> tháng </w:t>
      </w:r>
      <w:r w:rsidR="00CD78B9">
        <w:rPr>
          <w:i/>
          <w:sz w:val="28"/>
          <w:szCs w:val="28"/>
        </w:rPr>
        <w:t>8</w:t>
      </w:r>
      <w:r w:rsidR="006F455C">
        <w:rPr>
          <w:i/>
          <w:sz w:val="28"/>
          <w:szCs w:val="28"/>
        </w:rPr>
        <w:t xml:space="preserve"> </w:t>
      </w:r>
      <w:r>
        <w:rPr>
          <w:i/>
          <w:sz w:val="28"/>
          <w:szCs w:val="28"/>
        </w:rPr>
        <w:t>năm 202</w:t>
      </w:r>
      <w:r w:rsidR="006F455C">
        <w:rPr>
          <w:i/>
          <w:sz w:val="28"/>
          <w:szCs w:val="28"/>
        </w:rPr>
        <w:t>1</w:t>
      </w:r>
      <w:r w:rsidRPr="002F0A59">
        <w:rPr>
          <w:i/>
          <w:sz w:val="28"/>
          <w:szCs w:val="28"/>
        </w:rPr>
        <w:t xml:space="preserve"> của Thường trực Hội đồng nhân dân Thành phố Về Chương t</w:t>
      </w:r>
      <w:r>
        <w:rPr>
          <w:i/>
          <w:sz w:val="28"/>
          <w:szCs w:val="28"/>
        </w:rPr>
        <w:t>rình hoạt động giám sát năm 202</w:t>
      </w:r>
      <w:r w:rsidR="002657F4">
        <w:rPr>
          <w:i/>
          <w:sz w:val="28"/>
          <w:szCs w:val="28"/>
        </w:rPr>
        <w:t>2</w:t>
      </w:r>
      <w:r w:rsidRPr="002F0A59">
        <w:rPr>
          <w:i/>
          <w:sz w:val="28"/>
          <w:szCs w:val="28"/>
        </w:rPr>
        <w:t xml:space="preserve"> của Hội đồng nhân dân Thành phố; Báo cáo thẩm tra số</w:t>
      </w:r>
      <w:r w:rsidR="00AD4E78">
        <w:rPr>
          <w:i/>
          <w:sz w:val="28"/>
          <w:szCs w:val="28"/>
        </w:rPr>
        <w:t xml:space="preserve"> </w:t>
      </w:r>
      <w:bookmarkStart w:id="0" w:name="_GoBack"/>
      <w:bookmarkEnd w:id="0"/>
      <w:r w:rsidR="00CD78B9">
        <w:rPr>
          <w:i/>
          <w:sz w:val="28"/>
          <w:szCs w:val="28"/>
        </w:rPr>
        <w:t>10</w:t>
      </w:r>
      <w:r w:rsidR="00C1154F">
        <w:rPr>
          <w:i/>
          <w:sz w:val="28"/>
          <w:szCs w:val="28"/>
        </w:rPr>
        <w:t xml:space="preserve"> </w:t>
      </w:r>
      <w:r w:rsidRPr="002F0A59">
        <w:rPr>
          <w:i/>
          <w:sz w:val="28"/>
          <w:szCs w:val="28"/>
        </w:rPr>
        <w:t>/</w:t>
      </w:r>
      <w:r>
        <w:rPr>
          <w:i/>
          <w:sz w:val="28"/>
          <w:szCs w:val="28"/>
        </w:rPr>
        <w:t xml:space="preserve">BC-HĐND ngày </w:t>
      </w:r>
      <w:r w:rsidR="006F455C">
        <w:rPr>
          <w:i/>
          <w:sz w:val="28"/>
          <w:szCs w:val="28"/>
        </w:rPr>
        <w:t xml:space="preserve"> </w:t>
      </w:r>
      <w:r w:rsidR="00CD78B9">
        <w:rPr>
          <w:i/>
          <w:sz w:val="28"/>
          <w:szCs w:val="28"/>
        </w:rPr>
        <w:t>11</w:t>
      </w:r>
      <w:r w:rsidR="006F455C">
        <w:rPr>
          <w:i/>
          <w:sz w:val="28"/>
          <w:szCs w:val="28"/>
        </w:rPr>
        <w:t xml:space="preserve"> </w:t>
      </w:r>
      <w:r>
        <w:rPr>
          <w:i/>
          <w:sz w:val="28"/>
          <w:szCs w:val="28"/>
        </w:rPr>
        <w:t xml:space="preserve"> tháng </w:t>
      </w:r>
      <w:r w:rsidR="006F455C">
        <w:rPr>
          <w:i/>
          <w:sz w:val="28"/>
          <w:szCs w:val="28"/>
        </w:rPr>
        <w:t xml:space="preserve"> </w:t>
      </w:r>
      <w:r w:rsidR="00CD78B9">
        <w:rPr>
          <w:i/>
          <w:sz w:val="28"/>
          <w:szCs w:val="28"/>
        </w:rPr>
        <w:t>8</w:t>
      </w:r>
      <w:r w:rsidR="006F455C">
        <w:rPr>
          <w:i/>
          <w:sz w:val="28"/>
          <w:szCs w:val="28"/>
        </w:rPr>
        <w:t xml:space="preserve"> </w:t>
      </w:r>
      <w:r>
        <w:rPr>
          <w:i/>
          <w:sz w:val="28"/>
          <w:szCs w:val="28"/>
        </w:rPr>
        <w:t xml:space="preserve"> năm 202</w:t>
      </w:r>
      <w:r w:rsidR="006F455C">
        <w:rPr>
          <w:i/>
          <w:sz w:val="28"/>
          <w:szCs w:val="28"/>
        </w:rPr>
        <w:t>1</w:t>
      </w:r>
      <w:r w:rsidRPr="002F0A59">
        <w:rPr>
          <w:i/>
          <w:sz w:val="28"/>
          <w:szCs w:val="28"/>
        </w:rPr>
        <w:t xml:space="preserve"> của Ban Pháp chế Hội đồng nhân dân Thành phố và ý kiến thảo luận của đại biểu Hội đồn</w:t>
      </w:r>
      <w:r>
        <w:rPr>
          <w:i/>
          <w:sz w:val="28"/>
          <w:szCs w:val="28"/>
        </w:rPr>
        <w:t>g nhân dân Thành phố tại kỳ họp.</w:t>
      </w:r>
    </w:p>
    <w:p w:rsidR="00013F32" w:rsidRPr="00F665DD" w:rsidRDefault="00013F32" w:rsidP="00192550">
      <w:pPr>
        <w:spacing w:before="240" w:after="240"/>
        <w:jc w:val="center"/>
        <w:rPr>
          <w:b/>
          <w:sz w:val="28"/>
          <w:szCs w:val="28"/>
        </w:rPr>
      </w:pPr>
      <w:r w:rsidRPr="00F665DD">
        <w:rPr>
          <w:b/>
          <w:sz w:val="28"/>
          <w:szCs w:val="28"/>
        </w:rPr>
        <w:t>QUYẾT NGHỊ:</w:t>
      </w:r>
    </w:p>
    <w:p w:rsidR="00013F32" w:rsidRPr="00F665DD" w:rsidRDefault="00013F32" w:rsidP="005F46EF">
      <w:pPr>
        <w:spacing w:before="120" w:after="120"/>
        <w:ind w:firstLine="720"/>
        <w:jc w:val="both"/>
        <w:rPr>
          <w:i/>
          <w:sz w:val="28"/>
          <w:szCs w:val="28"/>
        </w:rPr>
      </w:pPr>
      <w:r w:rsidRPr="00F665DD">
        <w:rPr>
          <w:b/>
          <w:sz w:val="28"/>
          <w:szCs w:val="28"/>
        </w:rPr>
        <w:t>Điều 1.</w:t>
      </w:r>
      <w:r w:rsidRPr="00F665DD">
        <w:rPr>
          <w:sz w:val="28"/>
          <w:szCs w:val="28"/>
        </w:rPr>
        <w:t xml:space="preserve"> Thống nhất thông qua Chương </w:t>
      </w:r>
      <w:r>
        <w:rPr>
          <w:sz w:val="28"/>
          <w:szCs w:val="28"/>
        </w:rPr>
        <w:t xml:space="preserve">trình hoạt động giám sát </w:t>
      </w:r>
      <w:r w:rsidRPr="00F665DD">
        <w:rPr>
          <w:sz w:val="28"/>
          <w:szCs w:val="28"/>
        </w:rPr>
        <w:t xml:space="preserve">của Hội đồng nhân dân Thành phố </w:t>
      </w:r>
      <w:r>
        <w:rPr>
          <w:sz w:val="28"/>
          <w:szCs w:val="28"/>
        </w:rPr>
        <w:t>năm 202</w:t>
      </w:r>
      <w:r w:rsidR="002657F4">
        <w:rPr>
          <w:sz w:val="28"/>
          <w:szCs w:val="28"/>
        </w:rPr>
        <w:t>2</w:t>
      </w:r>
      <w:r w:rsidRPr="00F665DD">
        <w:rPr>
          <w:sz w:val="28"/>
          <w:szCs w:val="28"/>
        </w:rPr>
        <w:t xml:space="preserve"> với những nội dung sau:</w:t>
      </w:r>
    </w:p>
    <w:p w:rsidR="006F455C" w:rsidRPr="006F455C" w:rsidRDefault="006F455C" w:rsidP="005F46EF">
      <w:pPr>
        <w:spacing w:before="120" w:after="120"/>
        <w:ind w:firstLine="720"/>
        <w:jc w:val="both"/>
        <w:rPr>
          <w:b/>
          <w:sz w:val="28"/>
          <w:szCs w:val="28"/>
        </w:rPr>
      </w:pPr>
      <w:r w:rsidRPr="006F455C">
        <w:rPr>
          <w:b/>
          <w:sz w:val="28"/>
          <w:szCs w:val="28"/>
        </w:rPr>
        <w:t>1. Giám sát tại kỳ họp thường lệ</w:t>
      </w:r>
    </w:p>
    <w:p w:rsidR="006F455C" w:rsidRPr="006F455C" w:rsidRDefault="006F455C" w:rsidP="005F46EF">
      <w:pPr>
        <w:spacing w:before="120" w:after="120"/>
        <w:ind w:firstLine="720"/>
        <w:jc w:val="both"/>
        <w:rPr>
          <w:sz w:val="28"/>
          <w:szCs w:val="28"/>
        </w:rPr>
      </w:pPr>
      <w:r w:rsidRPr="005F46EF">
        <w:rPr>
          <w:b/>
          <w:sz w:val="28"/>
          <w:szCs w:val="28"/>
        </w:rPr>
        <w:t>1.1</w:t>
      </w:r>
      <w:r w:rsidRPr="006F455C">
        <w:rPr>
          <w:sz w:val="28"/>
          <w:szCs w:val="28"/>
        </w:rPr>
        <w:t xml:space="preserve"> Xem xét báo cáo công tác của Thường trực Hội đồng nhận dân và các Ban của Hội đồng nhân dân, Tòa án nhân dân, Viện kiểm sát nhân dân, Chi cục Thi hành án dân sự Thành phố.</w:t>
      </w:r>
    </w:p>
    <w:p w:rsidR="006F455C" w:rsidRPr="006F455C" w:rsidRDefault="006F455C" w:rsidP="005F46EF">
      <w:pPr>
        <w:spacing w:before="120" w:after="120"/>
        <w:ind w:firstLine="720"/>
        <w:jc w:val="both"/>
        <w:rPr>
          <w:sz w:val="28"/>
          <w:szCs w:val="28"/>
        </w:rPr>
      </w:pPr>
      <w:r w:rsidRPr="005F46EF">
        <w:rPr>
          <w:b/>
          <w:sz w:val="28"/>
          <w:szCs w:val="28"/>
        </w:rPr>
        <w:t>1.2</w:t>
      </w:r>
      <w:r w:rsidRPr="006F455C">
        <w:rPr>
          <w:sz w:val="28"/>
          <w:szCs w:val="28"/>
        </w:rPr>
        <w:t xml:space="preserve"> Xem xét báo cáo của Ủy ban nhân dân Thành phố: v</w:t>
      </w:r>
      <w:r w:rsidR="002657F4">
        <w:rPr>
          <w:sz w:val="28"/>
          <w:szCs w:val="28"/>
        </w:rPr>
        <w:t>ề</w:t>
      </w:r>
      <w:r w:rsidRPr="006F455C">
        <w:rPr>
          <w:sz w:val="28"/>
          <w:szCs w:val="28"/>
        </w:rPr>
        <w:t xml:space="preserve"> kinh tế - xã hội; về thực hiện ngân sách nhà nước, quyết toán ngân sách nhà nước của địa phương; về công tác phòng chống tham nhũng; về thực hành tiết kiệm, chống lãng phí; về công tác phòng, chống tội phạm và vi phạm pháp luật; về việc giải quyết khiếu nại, tố cáo và kiến nghị của cử tri và các báo cáo theo quy định của pháp luật.</w:t>
      </w:r>
    </w:p>
    <w:p w:rsidR="006F455C" w:rsidRPr="006F455C" w:rsidRDefault="006F455C" w:rsidP="005F46EF">
      <w:pPr>
        <w:spacing w:before="120" w:after="120"/>
        <w:ind w:firstLine="720"/>
        <w:jc w:val="both"/>
        <w:rPr>
          <w:sz w:val="28"/>
          <w:szCs w:val="28"/>
        </w:rPr>
      </w:pPr>
      <w:r w:rsidRPr="005F46EF">
        <w:rPr>
          <w:b/>
          <w:sz w:val="28"/>
          <w:szCs w:val="28"/>
        </w:rPr>
        <w:t>1.3</w:t>
      </w:r>
      <w:r w:rsidRPr="006F455C">
        <w:rPr>
          <w:sz w:val="28"/>
          <w:szCs w:val="28"/>
        </w:rPr>
        <w:t xml:space="preserve"> Xem xét quyết định của Ủy ban nhân </w:t>
      </w:r>
      <w:r w:rsidR="00C1154F">
        <w:rPr>
          <w:sz w:val="28"/>
          <w:szCs w:val="28"/>
        </w:rPr>
        <w:t xml:space="preserve">dân </w:t>
      </w:r>
      <w:r w:rsidRPr="006F455C">
        <w:rPr>
          <w:sz w:val="28"/>
          <w:szCs w:val="28"/>
        </w:rPr>
        <w:t>Thành phố, nghị quyết của Hội đồng nhân dân cấp xã, phường có dấu hiệu trái Hiến pháp, luật, văn bản quy phạm pháp luật của cơ quan nhà nước</w:t>
      </w:r>
      <w:r w:rsidRPr="006F455C">
        <w:rPr>
          <w:b/>
          <w:sz w:val="28"/>
          <w:szCs w:val="28"/>
        </w:rPr>
        <w:t xml:space="preserve"> </w:t>
      </w:r>
      <w:r w:rsidRPr="006F455C">
        <w:rPr>
          <w:sz w:val="28"/>
          <w:szCs w:val="28"/>
        </w:rPr>
        <w:t>cấp trên, nghị quyết của Hội đồng nhân dân Thành phố.</w:t>
      </w:r>
    </w:p>
    <w:p w:rsidR="006F455C" w:rsidRPr="006F455C" w:rsidRDefault="006F455C" w:rsidP="005F46EF">
      <w:pPr>
        <w:spacing w:before="120" w:after="120"/>
        <w:ind w:firstLine="720"/>
        <w:jc w:val="both"/>
        <w:rPr>
          <w:sz w:val="28"/>
          <w:szCs w:val="28"/>
          <w:highlight w:val="yellow"/>
        </w:rPr>
      </w:pPr>
      <w:r w:rsidRPr="005F46EF">
        <w:rPr>
          <w:b/>
          <w:sz w:val="28"/>
          <w:szCs w:val="28"/>
        </w:rPr>
        <w:lastRenderedPageBreak/>
        <w:t>1.4</w:t>
      </w:r>
      <w:r w:rsidRPr="006F455C">
        <w:rPr>
          <w:sz w:val="28"/>
          <w:szCs w:val="28"/>
        </w:rPr>
        <w:t xml:space="preserve"> Chất vấn và trả lời chất vấn của Chủ tịch Ủy ban nhân dân, thành viên Ủy ban nhân dân và Thủ trưởng cơ quan thuộc Ủy ban nhân dân Thành phố. Chánh án Tòa án nhân dân, Viện trưởng Viện kiểm sát nhân dân. </w:t>
      </w:r>
    </w:p>
    <w:p w:rsidR="006F455C" w:rsidRPr="006F455C" w:rsidRDefault="006F455C" w:rsidP="005F46EF">
      <w:pPr>
        <w:spacing w:before="120" w:after="120"/>
        <w:ind w:firstLine="720"/>
        <w:jc w:val="both"/>
        <w:rPr>
          <w:b/>
          <w:sz w:val="28"/>
          <w:szCs w:val="28"/>
        </w:rPr>
      </w:pPr>
      <w:r w:rsidRPr="006F455C">
        <w:rPr>
          <w:b/>
          <w:sz w:val="28"/>
          <w:szCs w:val="28"/>
        </w:rPr>
        <w:t>2. Giám sát gi</w:t>
      </w:r>
      <w:r w:rsidR="002657F4">
        <w:rPr>
          <w:b/>
          <w:sz w:val="28"/>
          <w:szCs w:val="28"/>
        </w:rPr>
        <w:t>ữ</w:t>
      </w:r>
      <w:r w:rsidRPr="006F455C">
        <w:rPr>
          <w:b/>
          <w:sz w:val="28"/>
          <w:szCs w:val="28"/>
        </w:rPr>
        <w:t>a 2 kỳ họp</w:t>
      </w:r>
    </w:p>
    <w:p w:rsidR="006F455C" w:rsidRPr="006F455C" w:rsidRDefault="006F455C" w:rsidP="005F46EF">
      <w:pPr>
        <w:spacing w:before="120" w:after="120"/>
        <w:ind w:firstLine="720"/>
        <w:jc w:val="both"/>
        <w:rPr>
          <w:sz w:val="28"/>
          <w:szCs w:val="28"/>
        </w:rPr>
      </w:pPr>
      <w:r w:rsidRPr="006F455C">
        <w:rPr>
          <w:sz w:val="28"/>
          <w:szCs w:val="28"/>
        </w:rPr>
        <w:t>Hội đồng nhân dân giao Thường trực Hội đồng nhân dân, các Ban Hội đồng nhân dân tổ chức giám sát và báo cáo kết quả về các nội dung sau đây:</w:t>
      </w:r>
    </w:p>
    <w:p w:rsidR="006F455C" w:rsidRPr="006F455C" w:rsidRDefault="006F455C" w:rsidP="005F46EF">
      <w:pPr>
        <w:spacing w:before="120" w:after="120"/>
        <w:ind w:firstLine="720"/>
        <w:jc w:val="both"/>
        <w:rPr>
          <w:b/>
          <w:color w:val="FF0000"/>
          <w:sz w:val="28"/>
          <w:szCs w:val="28"/>
        </w:rPr>
      </w:pPr>
      <w:r>
        <w:rPr>
          <w:b/>
          <w:color w:val="FF0000"/>
          <w:sz w:val="28"/>
          <w:szCs w:val="28"/>
        </w:rPr>
        <w:t>2.1</w:t>
      </w:r>
      <w:r w:rsidRPr="006F455C">
        <w:rPr>
          <w:b/>
          <w:color w:val="FF0000"/>
          <w:sz w:val="28"/>
          <w:szCs w:val="28"/>
        </w:rPr>
        <w:t xml:space="preserve"> Thường trực Hội đồng </w:t>
      </w:r>
      <w:r w:rsidR="009B7B3E">
        <w:rPr>
          <w:b/>
          <w:color w:val="FF0000"/>
          <w:sz w:val="28"/>
          <w:szCs w:val="28"/>
        </w:rPr>
        <w:t xml:space="preserve">nhân dân </w:t>
      </w:r>
      <w:r w:rsidRPr="006F455C">
        <w:rPr>
          <w:b/>
          <w:color w:val="FF0000"/>
          <w:sz w:val="28"/>
          <w:szCs w:val="28"/>
        </w:rPr>
        <w:t>Thành phố.</w:t>
      </w:r>
    </w:p>
    <w:p w:rsidR="006F455C" w:rsidRPr="006F455C" w:rsidRDefault="006F455C" w:rsidP="005F46EF">
      <w:pPr>
        <w:spacing w:before="120" w:after="120"/>
        <w:ind w:firstLine="720"/>
        <w:jc w:val="both"/>
        <w:rPr>
          <w:color w:val="FF0000"/>
          <w:sz w:val="28"/>
          <w:szCs w:val="28"/>
        </w:rPr>
      </w:pPr>
      <w:r w:rsidRPr="006F455C">
        <w:rPr>
          <w:color w:val="FF0000"/>
          <w:sz w:val="28"/>
          <w:szCs w:val="28"/>
        </w:rPr>
        <w:t xml:space="preserve">- Giám sát tổ chức và hoạt động của Hội đồng nhân dân xã, phường; các chế độ, chính sách và điều kiện đảm bảo hoạt động của đại biểu Hội đồng nhân dân xã, phường. </w:t>
      </w:r>
    </w:p>
    <w:p w:rsidR="006F455C" w:rsidRPr="006F455C" w:rsidRDefault="006F455C" w:rsidP="005F46EF">
      <w:pPr>
        <w:spacing w:before="120" w:after="120"/>
        <w:ind w:firstLine="720"/>
        <w:jc w:val="both"/>
        <w:rPr>
          <w:color w:val="FF0000"/>
          <w:sz w:val="28"/>
          <w:szCs w:val="28"/>
        </w:rPr>
      </w:pPr>
      <w:r w:rsidRPr="006F455C">
        <w:rPr>
          <w:color w:val="FF0000"/>
          <w:sz w:val="28"/>
          <w:szCs w:val="28"/>
        </w:rPr>
        <w:t xml:space="preserve">- Giám sát tình hình, kết quả giải quyết các kiến nghị của cử tri. </w:t>
      </w:r>
    </w:p>
    <w:p w:rsidR="006F455C" w:rsidRPr="006F455C" w:rsidRDefault="006F455C" w:rsidP="005F46EF">
      <w:pPr>
        <w:spacing w:before="120" w:after="120"/>
        <w:ind w:firstLine="709"/>
        <w:jc w:val="both"/>
        <w:rPr>
          <w:color w:val="FF0000"/>
          <w:sz w:val="28"/>
          <w:szCs w:val="28"/>
        </w:rPr>
      </w:pPr>
      <w:r>
        <w:rPr>
          <w:b/>
          <w:color w:val="FF0000"/>
          <w:sz w:val="28"/>
          <w:szCs w:val="28"/>
        </w:rPr>
        <w:t>2.2</w:t>
      </w:r>
      <w:r w:rsidRPr="006F455C">
        <w:rPr>
          <w:b/>
          <w:color w:val="FF0000"/>
          <w:sz w:val="28"/>
          <w:szCs w:val="28"/>
        </w:rPr>
        <w:t xml:space="preserve"> Ban Kinh tế - Xã hội Hội đồng nhân dân Thành phố:</w:t>
      </w:r>
    </w:p>
    <w:p w:rsidR="006F455C" w:rsidRPr="006F455C" w:rsidRDefault="006F455C" w:rsidP="005F46EF">
      <w:pPr>
        <w:spacing w:before="120" w:after="120"/>
        <w:ind w:firstLine="709"/>
        <w:jc w:val="both"/>
        <w:rPr>
          <w:color w:val="FF0000"/>
          <w:sz w:val="28"/>
          <w:szCs w:val="28"/>
        </w:rPr>
      </w:pPr>
      <w:r w:rsidRPr="006F455C">
        <w:rPr>
          <w:sz w:val="28"/>
          <w:szCs w:val="28"/>
        </w:rPr>
        <w:t xml:space="preserve">Giám sát về việc triển khai thực hiện </w:t>
      </w:r>
      <w:r w:rsidRPr="006F455C">
        <w:rPr>
          <w:color w:val="FF0000"/>
          <w:sz w:val="28"/>
          <w:szCs w:val="28"/>
        </w:rPr>
        <w:t xml:space="preserve">nghị quyết 68/NQ-CP ngày 02 tháng 7 năm 2021 của Chính phủ về một số chính sách hỗ trợ người lao động và người sử dụng lao động gặp khó khăn do đại dịch </w:t>
      </w:r>
      <w:r w:rsidR="00C1154F">
        <w:rPr>
          <w:color w:val="FF0000"/>
          <w:sz w:val="28"/>
          <w:szCs w:val="28"/>
        </w:rPr>
        <w:t>COVID</w:t>
      </w:r>
      <w:r w:rsidRPr="006F455C">
        <w:rPr>
          <w:color w:val="FF0000"/>
          <w:sz w:val="28"/>
          <w:szCs w:val="28"/>
        </w:rPr>
        <w:t xml:space="preserve"> -19.</w:t>
      </w:r>
    </w:p>
    <w:p w:rsidR="006F455C" w:rsidRPr="006F455C" w:rsidRDefault="006F455C" w:rsidP="005F46EF">
      <w:pPr>
        <w:spacing w:before="120" w:after="120"/>
        <w:ind w:firstLine="709"/>
        <w:jc w:val="both"/>
        <w:rPr>
          <w:color w:val="FF0000"/>
          <w:sz w:val="28"/>
          <w:szCs w:val="28"/>
        </w:rPr>
      </w:pPr>
      <w:r>
        <w:rPr>
          <w:b/>
          <w:color w:val="FF0000"/>
          <w:sz w:val="28"/>
          <w:szCs w:val="28"/>
        </w:rPr>
        <w:t>2.3</w:t>
      </w:r>
      <w:r w:rsidRPr="006F455C">
        <w:rPr>
          <w:color w:val="FF0000"/>
          <w:sz w:val="28"/>
          <w:szCs w:val="28"/>
        </w:rPr>
        <w:t xml:space="preserve"> </w:t>
      </w:r>
      <w:r w:rsidRPr="006F455C">
        <w:rPr>
          <w:b/>
          <w:color w:val="FF0000"/>
          <w:sz w:val="28"/>
          <w:szCs w:val="28"/>
        </w:rPr>
        <w:t>Ban Pháp chế Hội đồng nhân dân Thành phố:</w:t>
      </w:r>
    </w:p>
    <w:p w:rsidR="006F455C" w:rsidRPr="006F455C" w:rsidRDefault="006F455C" w:rsidP="005F46EF">
      <w:pPr>
        <w:spacing w:before="120" w:after="120"/>
        <w:ind w:firstLine="709"/>
        <w:jc w:val="both"/>
        <w:rPr>
          <w:color w:val="FF0000"/>
          <w:sz w:val="28"/>
          <w:szCs w:val="24"/>
        </w:rPr>
      </w:pPr>
      <w:r w:rsidRPr="006F455C">
        <w:rPr>
          <w:color w:val="FF0000"/>
          <w:sz w:val="28"/>
          <w:szCs w:val="24"/>
        </w:rPr>
        <w:t xml:space="preserve">Giám sát công tác tổ chức thực hiện quyết định số 08/QĐ-UBND ngày 05 tháng 4 năm 2021 của Ủy ban nhân dân Tỉnh ban hành </w:t>
      </w:r>
      <w:r w:rsidRPr="006F455C">
        <w:rPr>
          <w:color w:val="FF0000"/>
          <w:sz w:val="28"/>
          <w:szCs w:val="28"/>
          <w:lang w:val="de-DE"/>
        </w:rPr>
        <w:t>Quy định về tiêu chuẩn, nhiệm vụ, tuyển dụng, điều động, đánh giá, kỷ luật</w:t>
      </w:r>
      <w:r w:rsidRPr="006F455C">
        <w:rPr>
          <w:color w:val="FF0000"/>
          <w:sz w:val="28"/>
          <w:szCs w:val="24"/>
        </w:rPr>
        <w:t xml:space="preserve">, chế độ, </w:t>
      </w:r>
      <w:r w:rsidRPr="006F455C">
        <w:rPr>
          <w:bCs/>
          <w:color w:val="FF0000"/>
          <w:sz w:val="28"/>
          <w:szCs w:val="28"/>
        </w:rPr>
        <w:t>chính sách và quản lý những người hoạt động không chuyên trách ở xã, phường, thị trấn trên địa bàn tỉnh Đồng Tháp</w:t>
      </w:r>
      <w:r w:rsidRPr="006F455C">
        <w:rPr>
          <w:b/>
          <w:bCs/>
          <w:color w:val="FF0000"/>
          <w:sz w:val="28"/>
          <w:szCs w:val="28"/>
        </w:rPr>
        <w:t xml:space="preserve">. </w:t>
      </w:r>
      <w:r w:rsidRPr="006F455C">
        <w:rPr>
          <w:color w:val="FF0000"/>
          <w:sz w:val="28"/>
          <w:szCs w:val="24"/>
        </w:rPr>
        <w:t xml:space="preserve"> </w:t>
      </w:r>
    </w:p>
    <w:p w:rsidR="00013F32" w:rsidRPr="00F665DD" w:rsidRDefault="00013F32" w:rsidP="005F46EF">
      <w:pPr>
        <w:spacing w:before="120" w:after="120"/>
        <w:ind w:firstLine="720"/>
        <w:jc w:val="both"/>
        <w:rPr>
          <w:sz w:val="28"/>
          <w:szCs w:val="28"/>
        </w:rPr>
      </w:pPr>
      <w:r w:rsidRPr="00F665DD">
        <w:rPr>
          <w:sz w:val="28"/>
          <w:szCs w:val="28"/>
        </w:rPr>
        <w:t xml:space="preserve">Thường trực Hội đồng nhân dân, các Ban của Hội đồng nhân dân Thành phố phối hợp với các Đoàn giám sát của Thường trực, các Ban của HĐND Tỉnh tiến hành khảo sát tại Thành phố. Tiến hành giám sát một số chuyên đề hoặc những vấn đề bức xúc theo đề nghị của Thường trực HĐND, các Ban của HĐND, Tổ đại biểu, đại biểu Hội đồng nhân dân Thành phố, Ủy ban Mặt trận Tổ quốc Việt Nam Thành phố và cử tri trên địa bàn. </w:t>
      </w:r>
    </w:p>
    <w:p w:rsidR="00013F32" w:rsidRPr="00F665DD" w:rsidRDefault="00013F32" w:rsidP="00013F32">
      <w:pPr>
        <w:spacing w:before="120" w:after="120"/>
        <w:ind w:firstLine="720"/>
        <w:jc w:val="both"/>
        <w:rPr>
          <w:sz w:val="28"/>
          <w:szCs w:val="28"/>
        </w:rPr>
      </w:pPr>
      <w:r w:rsidRPr="00F665DD">
        <w:rPr>
          <w:b/>
          <w:sz w:val="28"/>
          <w:szCs w:val="28"/>
        </w:rPr>
        <w:t>Điều 2.</w:t>
      </w:r>
      <w:r w:rsidRPr="00F665DD">
        <w:rPr>
          <w:sz w:val="28"/>
          <w:szCs w:val="28"/>
        </w:rPr>
        <w:t xml:space="preserve"> Giao Thường trực Hội đồng nhân dân Thành phố tổ chức triển khai thực hiện Nghị quyết này; chỉ đạo, điều hòa, phối hợp hoạt động giám sát của các Ban của Hội đồng nhân dân; hướng dẫn các Tổ đại biểu, đại biểu Hội đồng nhân dân Thành phố trong việc thực hiện hoạt động giám sát theo thẩm quyền và báo cáo kết quả theo quy định.</w:t>
      </w:r>
    </w:p>
    <w:p w:rsidR="00013F32" w:rsidRDefault="00013F32" w:rsidP="00013F32">
      <w:pPr>
        <w:spacing w:before="120" w:after="120"/>
        <w:ind w:firstLine="720"/>
        <w:jc w:val="both"/>
        <w:rPr>
          <w:sz w:val="28"/>
          <w:szCs w:val="28"/>
        </w:rPr>
      </w:pPr>
      <w:r w:rsidRPr="00F665DD">
        <w:rPr>
          <w:b/>
          <w:sz w:val="28"/>
          <w:szCs w:val="28"/>
        </w:rPr>
        <w:t>Điều 3.</w:t>
      </w:r>
      <w:r w:rsidRPr="00F665DD">
        <w:rPr>
          <w:sz w:val="28"/>
          <w:szCs w:val="28"/>
        </w:rPr>
        <w:t xml:space="preserve"> Các cơ quan, tổ chức hữu quan tạo điều kiện thuận lợi để Thường trực Hội đồng nhân dân, các Ban của Hội đồng nhân dân, Tổ đại biểu, đại biểu Hội đồng nhân dân Thành phố trong công tác giám sát; chủ động chuẩn bị báo cáo và cung cấp tài liệu cần thiết theo yêu cầu của Đoàn giám sát; nghiêm túc thực hiện các</w:t>
      </w:r>
      <w:r>
        <w:rPr>
          <w:sz w:val="28"/>
          <w:szCs w:val="28"/>
        </w:rPr>
        <w:t xml:space="preserve"> kiến nghị qua kết quả giám sát của Thường </w:t>
      </w:r>
      <w:r w:rsidRPr="00F665DD">
        <w:rPr>
          <w:sz w:val="28"/>
          <w:szCs w:val="28"/>
        </w:rPr>
        <w:t>trực Hội đồng nhân dân, các Ban của Hội đồng nhân dân</w:t>
      </w:r>
      <w:r>
        <w:rPr>
          <w:sz w:val="28"/>
          <w:szCs w:val="28"/>
        </w:rPr>
        <w:t xml:space="preserve"> Thành phố</w:t>
      </w:r>
      <w:r w:rsidRPr="00F665DD">
        <w:rPr>
          <w:sz w:val="28"/>
          <w:szCs w:val="28"/>
        </w:rPr>
        <w:t>.</w:t>
      </w:r>
    </w:p>
    <w:p w:rsidR="005F46EF" w:rsidRDefault="005F46EF" w:rsidP="00013F32">
      <w:pPr>
        <w:spacing w:before="120" w:after="120"/>
        <w:ind w:firstLine="720"/>
        <w:jc w:val="both"/>
        <w:rPr>
          <w:sz w:val="28"/>
          <w:szCs w:val="28"/>
        </w:rPr>
      </w:pPr>
    </w:p>
    <w:p w:rsidR="005F46EF" w:rsidRDefault="005F46EF" w:rsidP="00013F32">
      <w:pPr>
        <w:spacing w:before="120" w:after="120"/>
        <w:ind w:firstLine="720"/>
        <w:jc w:val="both"/>
        <w:rPr>
          <w:sz w:val="28"/>
          <w:szCs w:val="28"/>
        </w:rPr>
      </w:pPr>
    </w:p>
    <w:p w:rsidR="00013F32" w:rsidRDefault="00013F32" w:rsidP="00013F32">
      <w:pPr>
        <w:spacing w:before="120" w:after="120"/>
        <w:ind w:firstLine="720"/>
        <w:jc w:val="both"/>
        <w:rPr>
          <w:sz w:val="28"/>
          <w:szCs w:val="28"/>
        </w:rPr>
      </w:pPr>
      <w:r w:rsidRPr="00F665DD">
        <w:rPr>
          <w:sz w:val="28"/>
          <w:szCs w:val="28"/>
        </w:rPr>
        <w:lastRenderedPageBreak/>
        <w:t xml:space="preserve">Nghị quyết này đã được Hội đồng nhân dân Thành phố Cao Lãnh khoá </w:t>
      </w:r>
      <w:r w:rsidR="006F455C">
        <w:rPr>
          <w:sz w:val="28"/>
          <w:szCs w:val="28"/>
        </w:rPr>
        <w:t>IX</w:t>
      </w:r>
      <w:r w:rsidRPr="00F665DD">
        <w:rPr>
          <w:sz w:val="28"/>
          <w:szCs w:val="28"/>
        </w:rPr>
        <w:t xml:space="preserve">, kỳ họp thứ </w:t>
      </w:r>
      <w:r w:rsidR="006F455C">
        <w:rPr>
          <w:sz w:val="28"/>
          <w:szCs w:val="28"/>
        </w:rPr>
        <w:t>2</w:t>
      </w:r>
      <w:r>
        <w:rPr>
          <w:sz w:val="28"/>
          <w:szCs w:val="28"/>
        </w:rPr>
        <w:t xml:space="preserve"> thông qua ngày </w:t>
      </w:r>
      <w:r w:rsidR="006F455C">
        <w:rPr>
          <w:sz w:val="28"/>
          <w:szCs w:val="28"/>
        </w:rPr>
        <w:t>20</w:t>
      </w:r>
      <w:r>
        <w:rPr>
          <w:sz w:val="28"/>
          <w:szCs w:val="28"/>
        </w:rPr>
        <w:t xml:space="preserve"> tháng </w:t>
      </w:r>
      <w:r w:rsidR="00A5476C">
        <w:rPr>
          <w:sz w:val="28"/>
          <w:szCs w:val="28"/>
        </w:rPr>
        <w:t>8</w:t>
      </w:r>
      <w:r>
        <w:rPr>
          <w:sz w:val="28"/>
          <w:szCs w:val="28"/>
        </w:rPr>
        <w:t xml:space="preserve"> năm 202</w:t>
      </w:r>
      <w:r w:rsidR="006F455C">
        <w:rPr>
          <w:sz w:val="28"/>
          <w:szCs w:val="28"/>
        </w:rPr>
        <w:t>1</w:t>
      </w:r>
      <w:r w:rsidRPr="00F665DD">
        <w:rPr>
          <w:sz w:val="28"/>
          <w:szCs w:val="28"/>
        </w:rPr>
        <w:t xml:space="preserve"> và có hiệu lực kể từ ngày thông qua./.</w:t>
      </w:r>
    </w:p>
    <w:p w:rsidR="00192550" w:rsidRPr="00F665DD" w:rsidRDefault="00192550" w:rsidP="00192550">
      <w:pPr>
        <w:ind w:firstLine="720"/>
        <w:jc w:val="both"/>
        <w:rPr>
          <w:sz w:val="28"/>
          <w:szCs w:val="28"/>
        </w:rPr>
      </w:pPr>
    </w:p>
    <w:tbl>
      <w:tblPr>
        <w:tblStyle w:val="a0"/>
        <w:tblW w:w="9444" w:type="dxa"/>
        <w:tblInd w:w="-115" w:type="dxa"/>
        <w:tblLayout w:type="fixed"/>
        <w:tblLook w:val="0400" w:firstRow="0" w:lastRow="0" w:firstColumn="0" w:lastColumn="0" w:noHBand="0" w:noVBand="1"/>
      </w:tblPr>
      <w:tblGrid>
        <w:gridCol w:w="4928"/>
        <w:gridCol w:w="4516"/>
      </w:tblGrid>
      <w:tr w:rsidR="00013F32" w:rsidRPr="00F665DD" w:rsidTr="00B80590">
        <w:tc>
          <w:tcPr>
            <w:tcW w:w="4928" w:type="dxa"/>
          </w:tcPr>
          <w:p w:rsidR="00013F32" w:rsidRPr="00F665DD" w:rsidRDefault="00013F32" w:rsidP="00D91924">
            <w:pPr>
              <w:spacing w:line="276" w:lineRule="auto"/>
              <w:jc w:val="both"/>
              <w:rPr>
                <w:i/>
              </w:rPr>
            </w:pPr>
            <w:r w:rsidRPr="00F665DD">
              <w:rPr>
                <w:b/>
                <w:i/>
              </w:rPr>
              <w:t>Nơi nhận</w:t>
            </w:r>
            <w:r w:rsidRPr="00F665DD">
              <w:rPr>
                <w:i/>
              </w:rPr>
              <w:t>:</w:t>
            </w:r>
          </w:p>
          <w:p w:rsidR="00013F32" w:rsidRPr="003D6B15" w:rsidRDefault="00013F32" w:rsidP="00D91924">
            <w:pPr>
              <w:spacing w:line="276" w:lineRule="auto"/>
              <w:jc w:val="both"/>
              <w:rPr>
                <w:b/>
                <w:i/>
                <w:sz w:val="22"/>
                <w:szCs w:val="22"/>
              </w:rPr>
            </w:pPr>
            <w:r w:rsidRPr="00F665DD">
              <w:rPr>
                <w:sz w:val="22"/>
                <w:szCs w:val="22"/>
              </w:rPr>
              <w:t>- TT/HĐND, UBND Tỉnh;</w:t>
            </w:r>
            <w:r w:rsidRPr="00F665DD">
              <w:rPr>
                <w:b/>
                <w:i/>
                <w:sz w:val="22"/>
                <w:szCs w:val="22"/>
              </w:rPr>
              <w:t xml:space="preserve"> </w:t>
            </w:r>
            <w:r w:rsidRPr="00F665DD">
              <w:rPr>
                <w:sz w:val="22"/>
                <w:szCs w:val="22"/>
              </w:rPr>
              <w:t xml:space="preserve">                                                                         </w:t>
            </w:r>
          </w:p>
          <w:p w:rsidR="00013F32" w:rsidRPr="00F665DD" w:rsidRDefault="00013F32" w:rsidP="00D91924">
            <w:pPr>
              <w:spacing w:line="276" w:lineRule="auto"/>
              <w:jc w:val="both"/>
              <w:rPr>
                <w:sz w:val="22"/>
                <w:szCs w:val="22"/>
              </w:rPr>
            </w:pPr>
            <w:r w:rsidRPr="00F665DD">
              <w:rPr>
                <w:sz w:val="22"/>
                <w:szCs w:val="22"/>
              </w:rPr>
              <w:t>- TT/TU, HĐND Thành phố;</w:t>
            </w:r>
          </w:p>
          <w:p w:rsidR="00013F32" w:rsidRPr="00F665DD" w:rsidRDefault="00013F32" w:rsidP="00D91924">
            <w:pPr>
              <w:spacing w:line="276" w:lineRule="auto"/>
              <w:jc w:val="both"/>
              <w:rPr>
                <w:sz w:val="22"/>
                <w:szCs w:val="22"/>
              </w:rPr>
            </w:pPr>
            <w:r w:rsidRPr="00F665DD">
              <w:rPr>
                <w:sz w:val="22"/>
                <w:szCs w:val="22"/>
              </w:rPr>
              <w:t>- UBND, UB MTTQ VN Thành phố;</w:t>
            </w:r>
          </w:p>
          <w:p w:rsidR="00013F32" w:rsidRPr="00F665DD" w:rsidRDefault="00013F32" w:rsidP="00D91924">
            <w:pPr>
              <w:spacing w:line="276" w:lineRule="auto"/>
              <w:rPr>
                <w:sz w:val="22"/>
                <w:szCs w:val="22"/>
              </w:rPr>
            </w:pPr>
            <w:r w:rsidRPr="00F665DD">
              <w:rPr>
                <w:sz w:val="22"/>
                <w:szCs w:val="22"/>
              </w:rPr>
              <w:t>- Ủy ban Kiểm tra Thành ủy;</w:t>
            </w:r>
          </w:p>
          <w:p w:rsidR="00013F32" w:rsidRPr="00F665DD" w:rsidRDefault="00013F32" w:rsidP="00D91924">
            <w:pPr>
              <w:spacing w:line="276" w:lineRule="auto"/>
              <w:rPr>
                <w:sz w:val="22"/>
                <w:szCs w:val="22"/>
              </w:rPr>
            </w:pPr>
            <w:r w:rsidRPr="00F665DD">
              <w:rPr>
                <w:sz w:val="22"/>
                <w:szCs w:val="22"/>
              </w:rPr>
              <w:t>- Các Ban của HĐND Thành phố;</w:t>
            </w:r>
          </w:p>
          <w:p w:rsidR="00013F32" w:rsidRPr="00F665DD" w:rsidRDefault="00013F32" w:rsidP="00D91924">
            <w:pPr>
              <w:spacing w:line="276" w:lineRule="auto"/>
              <w:rPr>
                <w:sz w:val="22"/>
                <w:szCs w:val="22"/>
              </w:rPr>
            </w:pPr>
            <w:r w:rsidRPr="00F665DD">
              <w:rPr>
                <w:sz w:val="22"/>
                <w:szCs w:val="22"/>
              </w:rPr>
              <w:t>- Đại biểu HĐND Thành phố;</w:t>
            </w:r>
          </w:p>
          <w:p w:rsidR="00013F32" w:rsidRPr="00F665DD" w:rsidRDefault="00013F32" w:rsidP="00D91924">
            <w:pPr>
              <w:spacing w:line="276" w:lineRule="auto"/>
              <w:rPr>
                <w:sz w:val="22"/>
                <w:szCs w:val="22"/>
              </w:rPr>
            </w:pPr>
            <w:r w:rsidRPr="00F665DD">
              <w:rPr>
                <w:sz w:val="22"/>
                <w:szCs w:val="22"/>
              </w:rPr>
              <w:t>- Các phòng, ban ngành Thành phố;</w:t>
            </w:r>
          </w:p>
          <w:p w:rsidR="00013F32" w:rsidRPr="00F665DD" w:rsidRDefault="00013F32" w:rsidP="00D91924">
            <w:pPr>
              <w:spacing w:line="276" w:lineRule="auto"/>
              <w:rPr>
                <w:sz w:val="22"/>
                <w:szCs w:val="22"/>
              </w:rPr>
            </w:pPr>
            <w:r w:rsidRPr="00F665DD">
              <w:rPr>
                <w:sz w:val="22"/>
                <w:szCs w:val="22"/>
              </w:rPr>
              <w:t>- LĐ VP HĐND &amp; UBND Thành phố;</w:t>
            </w:r>
          </w:p>
          <w:p w:rsidR="00013F32" w:rsidRPr="00F665DD" w:rsidRDefault="00013F32" w:rsidP="00D91924">
            <w:pPr>
              <w:spacing w:line="276" w:lineRule="auto"/>
              <w:rPr>
                <w:sz w:val="22"/>
                <w:szCs w:val="22"/>
              </w:rPr>
            </w:pPr>
            <w:r w:rsidRPr="00F665DD">
              <w:rPr>
                <w:sz w:val="22"/>
                <w:szCs w:val="22"/>
              </w:rPr>
              <w:t>- TT/HĐND, UBND xã, phường;</w:t>
            </w:r>
          </w:p>
          <w:p w:rsidR="00013F32" w:rsidRPr="00192550" w:rsidRDefault="00013F32" w:rsidP="00D91924">
            <w:pPr>
              <w:spacing w:line="276" w:lineRule="auto"/>
              <w:rPr>
                <w:b/>
                <w:sz w:val="22"/>
                <w:szCs w:val="22"/>
              </w:rPr>
            </w:pPr>
            <w:r w:rsidRPr="00F665DD">
              <w:rPr>
                <w:sz w:val="22"/>
                <w:szCs w:val="22"/>
              </w:rPr>
              <w:t>- Lưu: VT.</w:t>
            </w:r>
            <w:r w:rsidRPr="00F665DD">
              <w:rPr>
                <w:b/>
                <w:sz w:val="22"/>
                <w:szCs w:val="22"/>
              </w:rPr>
              <w:t xml:space="preserve">                                                                                                                       </w:t>
            </w:r>
          </w:p>
        </w:tc>
        <w:tc>
          <w:tcPr>
            <w:tcW w:w="4516" w:type="dxa"/>
          </w:tcPr>
          <w:p w:rsidR="00013F32" w:rsidRDefault="00013F32" w:rsidP="00D91924">
            <w:pPr>
              <w:spacing w:line="276" w:lineRule="auto"/>
              <w:jc w:val="center"/>
              <w:rPr>
                <w:b/>
                <w:sz w:val="26"/>
                <w:szCs w:val="26"/>
              </w:rPr>
            </w:pPr>
            <w:r>
              <w:rPr>
                <w:b/>
                <w:sz w:val="26"/>
                <w:szCs w:val="26"/>
              </w:rPr>
              <w:t>CHỦ TỊCH</w:t>
            </w:r>
          </w:p>
          <w:p w:rsidR="00013F32" w:rsidRDefault="00013F32" w:rsidP="00D91924">
            <w:pPr>
              <w:spacing w:line="276" w:lineRule="auto"/>
              <w:jc w:val="center"/>
              <w:rPr>
                <w:b/>
                <w:sz w:val="26"/>
                <w:szCs w:val="26"/>
              </w:rPr>
            </w:pPr>
          </w:p>
          <w:p w:rsidR="00013F32" w:rsidRPr="000A2C00" w:rsidRDefault="00013F32" w:rsidP="00D91924">
            <w:pPr>
              <w:spacing w:line="276" w:lineRule="auto"/>
              <w:jc w:val="center"/>
              <w:rPr>
                <w:b/>
                <w:i/>
                <w:sz w:val="22"/>
                <w:szCs w:val="22"/>
              </w:rPr>
            </w:pPr>
          </w:p>
          <w:p w:rsidR="00013F32" w:rsidRDefault="00013F32" w:rsidP="00D91924">
            <w:pPr>
              <w:spacing w:line="276" w:lineRule="auto"/>
              <w:jc w:val="center"/>
              <w:rPr>
                <w:b/>
                <w:sz w:val="26"/>
                <w:szCs w:val="26"/>
              </w:rPr>
            </w:pPr>
          </w:p>
          <w:p w:rsidR="00013F32" w:rsidRDefault="00013F32" w:rsidP="00D91924">
            <w:pPr>
              <w:spacing w:line="276" w:lineRule="auto"/>
              <w:jc w:val="center"/>
              <w:rPr>
                <w:b/>
                <w:sz w:val="26"/>
                <w:szCs w:val="26"/>
              </w:rPr>
            </w:pPr>
          </w:p>
          <w:p w:rsidR="00013F32" w:rsidRDefault="00013F32" w:rsidP="00D91924">
            <w:pPr>
              <w:spacing w:line="276" w:lineRule="auto"/>
              <w:jc w:val="center"/>
              <w:rPr>
                <w:b/>
                <w:sz w:val="26"/>
                <w:szCs w:val="26"/>
              </w:rPr>
            </w:pPr>
          </w:p>
          <w:p w:rsidR="00013F32" w:rsidRPr="002F0A59" w:rsidRDefault="00013F32" w:rsidP="00D91924">
            <w:pPr>
              <w:spacing w:line="276" w:lineRule="auto"/>
              <w:jc w:val="center"/>
              <w:rPr>
                <w:b/>
                <w:sz w:val="28"/>
                <w:szCs w:val="28"/>
              </w:rPr>
            </w:pPr>
            <w:r w:rsidRPr="002F0A59">
              <w:rPr>
                <w:b/>
                <w:sz w:val="28"/>
                <w:szCs w:val="28"/>
              </w:rPr>
              <w:t>Phan Văn Thương</w:t>
            </w:r>
          </w:p>
          <w:p w:rsidR="00013F32" w:rsidRPr="00F665DD" w:rsidRDefault="00013F32" w:rsidP="00192550">
            <w:pPr>
              <w:spacing w:line="276" w:lineRule="auto"/>
              <w:rPr>
                <w:b/>
                <w:sz w:val="26"/>
                <w:szCs w:val="26"/>
              </w:rPr>
            </w:pPr>
          </w:p>
          <w:p w:rsidR="00013F32" w:rsidRPr="00F665DD" w:rsidRDefault="00013F32" w:rsidP="00D91924">
            <w:pPr>
              <w:spacing w:line="276" w:lineRule="auto"/>
              <w:rPr>
                <w:sz w:val="26"/>
                <w:szCs w:val="26"/>
              </w:rPr>
            </w:pPr>
          </w:p>
        </w:tc>
      </w:tr>
    </w:tbl>
    <w:p w:rsidR="0069389B" w:rsidRPr="00F665DD" w:rsidRDefault="0069389B" w:rsidP="00192550"/>
    <w:sectPr w:rsidR="0069389B" w:rsidRPr="00F665DD" w:rsidSect="00A5476C">
      <w:headerReference w:type="default" r:id="rId7"/>
      <w:footerReference w:type="default" r:id="rId8"/>
      <w:footerReference w:type="first" r:id="rId9"/>
      <w:pgSz w:w="11907" w:h="16840"/>
      <w:pgMar w:top="1134" w:right="1134" w:bottom="1134" w:left="1701" w:header="567"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23" w:rsidRDefault="00672D23">
      <w:r>
        <w:separator/>
      </w:r>
    </w:p>
  </w:endnote>
  <w:endnote w:type="continuationSeparator" w:id="0">
    <w:p w:rsidR="00672D23" w:rsidRDefault="0067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EF" w:rsidRPr="00F85DEF" w:rsidRDefault="00F85DEF">
    <w:pPr>
      <w:pStyle w:val="Footer"/>
      <w:jc w:val="center"/>
      <w:rPr>
        <w:rFonts w:asciiTheme="majorHAnsi" w:eastAsiaTheme="majorEastAsia" w:hAnsiTheme="majorHAnsi" w:cstheme="majorBidi"/>
        <w:color w:val="4F81BD" w:themeColor="accent1"/>
      </w:rPr>
    </w:pPr>
  </w:p>
  <w:p w:rsidR="00F85DEF" w:rsidRDefault="00F85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EF" w:rsidRDefault="00F85DEF" w:rsidP="00F85DEF">
    <w:pPr>
      <w:pStyle w:val="Footer"/>
      <w:tabs>
        <w:tab w:val="clear" w:pos="4680"/>
      </w:tabs>
      <w:jc w:val="center"/>
    </w:pPr>
  </w:p>
  <w:p w:rsidR="00F85DEF" w:rsidRDefault="00F85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23" w:rsidRDefault="00672D23">
      <w:r>
        <w:separator/>
      </w:r>
    </w:p>
  </w:footnote>
  <w:footnote w:type="continuationSeparator" w:id="0">
    <w:p w:rsidR="00672D23" w:rsidRDefault="0067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70209"/>
      <w:docPartObj>
        <w:docPartGallery w:val="Page Numbers (Top of Page)"/>
        <w:docPartUnique/>
      </w:docPartObj>
    </w:sdtPr>
    <w:sdtEndPr>
      <w:rPr>
        <w:noProof/>
      </w:rPr>
    </w:sdtEndPr>
    <w:sdtContent>
      <w:p w:rsidR="00A5476C" w:rsidRDefault="00A5476C">
        <w:pPr>
          <w:pStyle w:val="Header"/>
          <w:jc w:val="center"/>
        </w:pPr>
        <w:r>
          <w:fldChar w:fldCharType="begin"/>
        </w:r>
        <w:r>
          <w:instrText xml:space="preserve"> PAGE   \* MERGEFORMAT </w:instrText>
        </w:r>
        <w:r>
          <w:fldChar w:fldCharType="separate"/>
        </w:r>
        <w:r w:rsidR="00AD4E78">
          <w:rPr>
            <w:noProof/>
          </w:rPr>
          <w:t>3</w:t>
        </w:r>
        <w:r>
          <w:rPr>
            <w:noProof/>
          </w:rPr>
          <w:fldChar w:fldCharType="end"/>
        </w:r>
      </w:p>
    </w:sdtContent>
  </w:sdt>
  <w:p w:rsidR="00A5476C" w:rsidRDefault="00A54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389B"/>
    <w:rsid w:val="000050E2"/>
    <w:rsid w:val="00011DE3"/>
    <w:rsid w:val="00013F32"/>
    <w:rsid w:val="00017C7E"/>
    <w:rsid w:val="000648CE"/>
    <w:rsid w:val="00072305"/>
    <w:rsid w:val="000A2C00"/>
    <w:rsid w:val="000A7488"/>
    <w:rsid w:val="000B5855"/>
    <w:rsid w:val="000D51F0"/>
    <w:rsid w:val="000F74F8"/>
    <w:rsid w:val="001057B5"/>
    <w:rsid w:val="00132F80"/>
    <w:rsid w:val="001865AE"/>
    <w:rsid w:val="00192550"/>
    <w:rsid w:val="00193E57"/>
    <w:rsid w:val="001A37E0"/>
    <w:rsid w:val="001C42DB"/>
    <w:rsid w:val="001E5BF4"/>
    <w:rsid w:val="001F4A22"/>
    <w:rsid w:val="001F7510"/>
    <w:rsid w:val="002405C9"/>
    <w:rsid w:val="002657F4"/>
    <w:rsid w:val="002857F2"/>
    <w:rsid w:val="002B4C1D"/>
    <w:rsid w:val="002C3BDE"/>
    <w:rsid w:val="002D4466"/>
    <w:rsid w:val="003357C4"/>
    <w:rsid w:val="003377AC"/>
    <w:rsid w:val="00341C8D"/>
    <w:rsid w:val="00353063"/>
    <w:rsid w:val="00376264"/>
    <w:rsid w:val="003A5F49"/>
    <w:rsid w:val="003A63EA"/>
    <w:rsid w:val="003D6B15"/>
    <w:rsid w:val="003E69F9"/>
    <w:rsid w:val="00415408"/>
    <w:rsid w:val="00422EEF"/>
    <w:rsid w:val="00436F3D"/>
    <w:rsid w:val="00474951"/>
    <w:rsid w:val="004B66A2"/>
    <w:rsid w:val="004C6CA5"/>
    <w:rsid w:val="004D532F"/>
    <w:rsid w:val="004E4541"/>
    <w:rsid w:val="005043FA"/>
    <w:rsid w:val="00531296"/>
    <w:rsid w:val="00532663"/>
    <w:rsid w:val="005513F5"/>
    <w:rsid w:val="005622F0"/>
    <w:rsid w:val="0058247C"/>
    <w:rsid w:val="005B0EF6"/>
    <w:rsid w:val="005C4165"/>
    <w:rsid w:val="005C4EF0"/>
    <w:rsid w:val="005D4BFA"/>
    <w:rsid w:val="005D7051"/>
    <w:rsid w:val="005D7F2D"/>
    <w:rsid w:val="005E7CD7"/>
    <w:rsid w:val="005F46EF"/>
    <w:rsid w:val="005F73FF"/>
    <w:rsid w:val="00602271"/>
    <w:rsid w:val="006279DB"/>
    <w:rsid w:val="00637A86"/>
    <w:rsid w:val="00672D23"/>
    <w:rsid w:val="006847B6"/>
    <w:rsid w:val="006917D5"/>
    <w:rsid w:val="0069389B"/>
    <w:rsid w:val="006E32FF"/>
    <w:rsid w:val="006F455C"/>
    <w:rsid w:val="00720380"/>
    <w:rsid w:val="007312EE"/>
    <w:rsid w:val="00736888"/>
    <w:rsid w:val="00747619"/>
    <w:rsid w:val="00764602"/>
    <w:rsid w:val="00770063"/>
    <w:rsid w:val="0079725D"/>
    <w:rsid w:val="007D30D2"/>
    <w:rsid w:val="007D7BDC"/>
    <w:rsid w:val="007E0AB2"/>
    <w:rsid w:val="007F728F"/>
    <w:rsid w:val="007F78F2"/>
    <w:rsid w:val="00825953"/>
    <w:rsid w:val="008444CA"/>
    <w:rsid w:val="00855AC0"/>
    <w:rsid w:val="00864796"/>
    <w:rsid w:val="0087627C"/>
    <w:rsid w:val="00886881"/>
    <w:rsid w:val="008B7794"/>
    <w:rsid w:val="008F4E0E"/>
    <w:rsid w:val="00900CB4"/>
    <w:rsid w:val="00911B52"/>
    <w:rsid w:val="0093760B"/>
    <w:rsid w:val="00951B13"/>
    <w:rsid w:val="009547A0"/>
    <w:rsid w:val="00955267"/>
    <w:rsid w:val="00956038"/>
    <w:rsid w:val="00962537"/>
    <w:rsid w:val="00966385"/>
    <w:rsid w:val="00970919"/>
    <w:rsid w:val="00977227"/>
    <w:rsid w:val="00984F87"/>
    <w:rsid w:val="00992E76"/>
    <w:rsid w:val="009B7B3E"/>
    <w:rsid w:val="009D6AE0"/>
    <w:rsid w:val="00A07DC3"/>
    <w:rsid w:val="00A101DF"/>
    <w:rsid w:val="00A3039E"/>
    <w:rsid w:val="00A317EE"/>
    <w:rsid w:val="00A318AC"/>
    <w:rsid w:val="00A36181"/>
    <w:rsid w:val="00A37A03"/>
    <w:rsid w:val="00A37E4B"/>
    <w:rsid w:val="00A5476C"/>
    <w:rsid w:val="00A82576"/>
    <w:rsid w:val="00AD4E78"/>
    <w:rsid w:val="00AD786B"/>
    <w:rsid w:val="00AE1685"/>
    <w:rsid w:val="00AF76EE"/>
    <w:rsid w:val="00B03D02"/>
    <w:rsid w:val="00B21451"/>
    <w:rsid w:val="00B315A6"/>
    <w:rsid w:val="00B32594"/>
    <w:rsid w:val="00B3443D"/>
    <w:rsid w:val="00B80590"/>
    <w:rsid w:val="00B90FBE"/>
    <w:rsid w:val="00B94C39"/>
    <w:rsid w:val="00BA0970"/>
    <w:rsid w:val="00BB2B5A"/>
    <w:rsid w:val="00BD0507"/>
    <w:rsid w:val="00BD08FA"/>
    <w:rsid w:val="00BE746D"/>
    <w:rsid w:val="00BF59AB"/>
    <w:rsid w:val="00C1154F"/>
    <w:rsid w:val="00C2694E"/>
    <w:rsid w:val="00C34120"/>
    <w:rsid w:val="00C3681C"/>
    <w:rsid w:val="00C422A6"/>
    <w:rsid w:val="00C66773"/>
    <w:rsid w:val="00C72E00"/>
    <w:rsid w:val="00C95AED"/>
    <w:rsid w:val="00CB609D"/>
    <w:rsid w:val="00CC38DA"/>
    <w:rsid w:val="00CD78B9"/>
    <w:rsid w:val="00D06875"/>
    <w:rsid w:val="00D2630C"/>
    <w:rsid w:val="00D6475F"/>
    <w:rsid w:val="00D911CD"/>
    <w:rsid w:val="00D91391"/>
    <w:rsid w:val="00DB20E7"/>
    <w:rsid w:val="00E00C63"/>
    <w:rsid w:val="00E049C8"/>
    <w:rsid w:val="00E100CC"/>
    <w:rsid w:val="00E1313D"/>
    <w:rsid w:val="00E211E3"/>
    <w:rsid w:val="00E32A01"/>
    <w:rsid w:val="00E44D58"/>
    <w:rsid w:val="00E50561"/>
    <w:rsid w:val="00E82C60"/>
    <w:rsid w:val="00E862F7"/>
    <w:rsid w:val="00E933F4"/>
    <w:rsid w:val="00EB0DFC"/>
    <w:rsid w:val="00EB37C6"/>
    <w:rsid w:val="00EE57DC"/>
    <w:rsid w:val="00F15664"/>
    <w:rsid w:val="00F162BA"/>
    <w:rsid w:val="00F46B6B"/>
    <w:rsid w:val="00F62AC5"/>
    <w:rsid w:val="00F62F50"/>
    <w:rsid w:val="00F665DD"/>
    <w:rsid w:val="00F673FC"/>
    <w:rsid w:val="00F85DEF"/>
    <w:rsid w:val="00F862CE"/>
    <w:rsid w:val="00FB5DEE"/>
    <w:rsid w:val="00FC1DB4"/>
    <w:rsid w:val="00FD5412"/>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39153-F1E8-4464-9670-D90A8FFB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i/>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jc w:val="center"/>
      <w:outlineLvl w:val="2"/>
    </w:pPr>
    <w:rPr>
      <w:b/>
      <w:sz w:val="28"/>
      <w:szCs w:val="28"/>
    </w:rPr>
  </w:style>
  <w:style w:type="paragraph" w:styleId="Heading4">
    <w:name w:val="heading 4"/>
    <w:basedOn w:val="Normal"/>
    <w:next w:val="Normal"/>
    <w:pPr>
      <w:keepNext/>
      <w:jc w:val="center"/>
      <w:outlineLvl w:val="3"/>
    </w:pPr>
    <w:rPr>
      <w:b/>
      <w:sz w:val="26"/>
      <w:szCs w:val="26"/>
    </w:rPr>
  </w:style>
  <w:style w:type="paragraph" w:styleId="Heading5">
    <w:name w:val="heading 5"/>
    <w:basedOn w:val="Normal"/>
    <w:next w:val="Normal"/>
    <w:pPr>
      <w:keepNext/>
      <w:ind w:firstLine="1701"/>
      <w:jc w:val="center"/>
      <w:outlineLvl w:val="4"/>
    </w:pPr>
    <w:rPr>
      <w:sz w:val="28"/>
      <w:szCs w:val="2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3681C"/>
    <w:pPr>
      <w:tabs>
        <w:tab w:val="center" w:pos="4680"/>
        <w:tab w:val="right" w:pos="9360"/>
      </w:tabs>
    </w:pPr>
  </w:style>
  <w:style w:type="character" w:customStyle="1" w:styleId="HeaderChar">
    <w:name w:val="Header Char"/>
    <w:basedOn w:val="DefaultParagraphFont"/>
    <w:link w:val="Header"/>
    <w:uiPriority w:val="99"/>
    <w:rsid w:val="00C3681C"/>
  </w:style>
  <w:style w:type="paragraph" w:styleId="Footer">
    <w:name w:val="footer"/>
    <w:basedOn w:val="Normal"/>
    <w:link w:val="FooterChar"/>
    <w:uiPriority w:val="99"/>
    <w:unhideWhenUsed/>
    <w:rsid w:val="00C3681C"/>
    <w:pPr>
      <w:tabs>
        <w:tab w:val="center" w:pos="4680"/>
        <w:tab w:val="right" w:pos="9360"/>
      </w:tabs>
    </w:pPr>
  </w:style>
  <w:style w:type="character" w:customStyle="1" w:styleId="FooterChar">
    <w:name w:val="Footer Char"/>
    <w:basedOn w:val="DefaultParagraphFont"/>
    <w:link w:val="Footer"/>
    <w:uiPriority w:val="99"/>
    <w:rsid w:val="00C3681C"/>
  </w:style>
  <w:style w:type="paragraph" w:styleId="BalloonText">
    <w:name w:val="Balloon Text"/>
    <w:basedOn w:val="Normal"/>
    <w:link w:val="BalloonTextChar"/>
    <w:uiPriority w:val="99"/>
    <w:semiHidden/>
    <w:unhideWhenUsed/>
    <w:rsid w:val="00A07DC3"/>
    <w:rPr>
      <w:rFonts w:ascii="Tahoma" w:hAnsi="Tahoma" w:cs="Tahoma"/>
      <w:sz w:val="16"/>
      <w:szCs w:val="16"/>
    </w:rPr>
  </w:style>
  <w:style w:type="character" w:customStyle="1" w:styleId="BalloonTextChar">
    <w:name w:val="Balloon Text Char"/>
    <w:basedOn w:val="DefaultParagraphFont"/>
    <w:link w:val="BalloonText"/>
    <w:uiPriority w:val="99"/>
    <w:semiHidden/>
    <w:rsid w:val="00A07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A3EA-50CC-4622-BFA6-A6D55A86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cp:revision>
  <cp:lastPrinted>2021-08-18T08:21:00Z</cp:lastPrinted>
  <dcterms:created xsi:type="dcterms:W3CDTF">2021-08-06T02:36:00Z</dcterms:created>
  <dcterms:modified xsi:type="dcterms:W3CDTF">2021-08-18T08:22:00Z</dcterms:modified>
</cp:coreProperties>
</file>